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D7" w:rsidRPr="009054CA" w:rsidRDefault="00982DD7">
      <w:pPr>
        <w:pStyle w:val="lfej"/>
        <w:tabs>
          <w:tab w:val="clear" w:pos="9072"/>
        </w:tabs>
        <w:ind w:right="1330"/>
        <w:jc w:val="center"/>
        <w:rPr>
          <w:rFonts w:cs="Times New Roman"/>
          <w:b/>
          <w:caps/>
        </w:rPr>
      </w:pPr>
    </w:p>
    <w:p w:rsidR="009054CA" w:rsidRPr="009054CA" w:rsidRDefault="009054CA" w:rsidP="009054CA">
      <w:pPr>
        <w:pStyle w:val="Cm"/>
        <w:jc w:val="both"/>
      </w:pPr>
    </w:p>
    <w:p w:rsidR="009054CA" w:rsidRPr="009054CA" w:rsidRDefault="009054CA" w:rsidP="009054CA">
      <w:pPr>
        <w:jc w:val="center"/>
        <w:rPr>
          <w:b/>
        </w:rPr>
      </w:pPr>
      <w:r w:rsidRPr="009054CA">
        <w:rPr>
          <w:b/>
        </w:rPr>
        <w:t>Ceglédbercel Községi Önkormányzat Képviselő-testületének</w:t>
      </w:r>
    </w:p>
    <w:p w:rsidR="009054CA" w:rsidRPr="00ED0D64" w:rsidRDefault="00ED0D64" w:rsidP="009054CA">
      <w:pPr>
        <w:jc w:val="center"/>
        <w:rPr>
          <w:b/>
          <w:u w:val="single"/>
        </w:rPr>
      </w:pPr>
      <w:r w:rsidRPr="00ED0D64">
        <w:rPr>
          <w:b/>
          <w:u w:val="single"/>
        </w:rPr>
        <w:t>10</w:t>
      </w:r>
      <w:r w:rsidR="009054CA" w:rsidRPr="00ED0D64">
        <w:rPr>
          <w:b/>
          <w:u w:val="single"/>
        </w:rPr>
        <w:t>/2017</w:t>
      </w:r>
      <w:r w:rsidR="00F85383" w:rsidRPr="00ED0D64">
        <w:rPr>
          <w:b/>
          <w:u w:val="single"/>
        </w:rPr>
        <w:t>. (</w:t>
      </w:r>
      <w:r w:rsidRPr="00ED0D64">
        <w:rPr>
          <w:b/>
          <w:u w:val="single"/>
        </w:rPr>
        <w:t>V. 17.</w:t>
      </w:r>
      <w:r w:rsidR="00F85383" w:rsidRPr="00ED0D64">
        <w:rPr>
          <w:b/>
          <w:u w:val="single"/>
        </w:rPr>
        <w:t xml:space="preserve">) önkormányzati </w:t>
      </w:r>
      <w:r w:rsidR="009054CA" w:rsidRPr="00ED0D64">
        <w:rPr>
          <w:b/>
          <w:u w:val="single"/>
        </w:rPr>
        <w:t>rendelete</w:t>
      </w:r>
    </w:p>
    <w:p w:rsidR="009054CA" w:rsidRPr="00ED0D64" w:rsidRDefault="009054CA" w:rsidP="009054CA">
      <w:pPr>
        <w:jc w:val="center"/>
        <w:rPr>
          <w:b/>
          <w:u w:val="single"/>
        </w:rPr>
      </w:pPr>
    </w:p>
    <w:p w:rsidR="00C52343" w:rsidRDefault="005001AD" w:rsidP="009054CA">
      <w:pPr>
        <w:jc w:val="center"/>
        <w:rPr>
          <w:b/>
        </w:rPr>
      </w:pPr>
      <w:r>
        <w:rPr>
          <w:b/>
        </w:rPr>
        <w:t>Ceglédbercel Község</w:t>
      </w:r>
    </w:p>
    <w:p w:rsidR="009054CA" w:rsidRPr="00ED0D64" w:rsidRDefault="009054CA" w:rsidP="009054CA">
      <w:pPr>
        <w:jc w:val="center"/>
        <w:rPr>
          <w:b/>
        </w:rPr>
      </w:pPr>
      <w:r w:rsidRPr="00ED0D64">
        <w:rPr>
          <w:b/>
        </w:rPr>
        <w:t xml:space="preserve"> Helyi Építési Szabályzatáról szóló</w:t>
      </w:r>
    </w:p>
    <w:p w:rsidR="009054CA" w:rsidRPr="009054CA" w:rsidRDefault="009054CA" w:rsidP="009054CA">
      <w:pPr>
        <w:jc w:val="center"/>
        <w:rPr>
          <w:b/>
        </w:rPr>
      </w:pPr>
      <w:r w:rsidRPr="009054CA">
        <w:rPr>
          <w:b/>
        </w:rPr>
        <w:t>12/2009. (IX. 17.) önkormányzati rendelet módosításáról</w:t>
      </w:r>
    </w:p>
    <w:p w:rsidR="009054CA" w:rsidRPr="009054CA" w:rsidRDefault="009054CA" w:rsidP="009054CA">
      <w:pPr>
        <w:jc w:val="center"/>
      </w:pPr>
    </w:p>
    <w:p w:rsidR="009054CA" w:rsidRPr="009054CA" w:rsidRDefault="009054CA" w:rsidP="00ED0D64">
      <w:pPr>
        <w:spacing w:before="120" w:after="120"/>
        <w:jc w:val="both"/>
        <w:rPr>
          <w:rFonts w:cs="Times New Roman"/>
        </w:rPr>
      </w:pPr>
      <w:r w:rsidRPr="009054CA">
        <w:rPr>
          <w:rFonts w:cs="Times New Roman"/>
        </w:rPr>
        <w:t>Ceglédbercel Község Önkormányzatának Képviselő-testülete az Alaptörvény 32. cikk (1) bekezdés a) pontjában meghatározott eredeti jogalkotói hatáskörében, Magyarország helyi önkormányzatairól szóló 2011. évi CLXXXIX. törvény 13. § (1) bekezdésében, valamint az épített környezet alakításáról és védelméről szóló 1997. évi LXXVIII. törvény 6. §. (1) bekezdésében foglalt feladatkörében eljárva, a 62. § (6) bekezdés 6. pontjában kapott felhatalmazás alapján, a 13. § (1) bekezdésében, valamint a településfejlesztési koncepcióról, az integrált településfejlesztési stratégiáról és a településfejlesztési eszközökről, valamint az egyes sajátos jogintézményekről szóló 314/2012. (XI.8.) Korm. rendelet (a továbbiakban: Tr.) 32. § (1) bekezdés c) pont és 32. § (6) bekezdése a) pont szerinti eljárásban a Tr. 9. számú mellékletben megjelölt véleményezési jogkörben eljáró szervek, és az érintett területi és települési önkormányzatok, illetve a partnerségi egyeztetés szabályai szerint a partnerek véleményének kikérésével a következőket rendeli el:</w:t>
      </w:r>
    </w:p>
    <w:p w:rsidR="009054CA" w:rsidRPr="009054CA" w:rsidRDefault="009054CA" w:rsidP="009054CA">
      <w:pPr>
        <w:rPr>
          <w:rFonts w:cs="Times New Roman"/>
        </w:rPr>
      </w:pPr>
    </w:p>
    <w:p w:rsidR="009054CA" w:rsidRPr="009054CA" w:rsidRDefault="009054CA" w:rsidP="009054CA">
      <w:pPr>
        <w:ind w:hanging="6"/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1.§</w:t>
      </w:r>
    </w:p>
    <w:p w:rsidR="009054CA" w:rsidRPr="009054CA" w:rsidRDefault="009054CA" w:rsidP="009054CA">
      <w:pPr>
        <w:ind w:hanging="6"/>
        <w:jc w:val="center"/>
        <w:rPr>
          <w:rFonts w:cs="Times New Roman"/>
          <w:b/>
        </w:rPr>
      </w:pPr>
    </w:p>
    <w:p w:rsidR="009054CA" w:rsidRPr="009054CA" w:rsidRDefault="009054CA" w:rsidP="009054CA">
      <w:pPr>
        <w:contextualSpacing/>
        <w:rPr>
          <w:rFonts w:cs="Times New Roman"/>
        </w:rPr>
      </w:pPr>
      <w:r w:rsidRPr="009054CA">
        <w:rPr>
          <w:rFonts w:cs="Times New Roman"/>
        </w:rPr>
        <w:t>Jelen rendelet területi hatálya Ceglédbercel közigazgatási területén</w:t>
      </w:r>
    </w:p>
    <w:p w:rsidR="009054CA" w:rsidRPr="009054CA" w:rsidRDefault="009054CA" w:rsidP="009054CA">
      <w:pPr>
        <w:pStyle w:val="Listaszerbekezds"/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054CA">
        <w:rPr>
          <w:rFonts w:ascii="Times New Roman" w:hAnsi="Times New Roman" w:cs="Times New Roman"/>
          <w:sz w:val="24"/>
          <w:szCs w:val="24"/>
        </w:rPr>
        <w:t>a 0133/13 hrsz-ú telekre,</w:t>
      </w:r>
    </w:p>
    <w:p w:rsidR="009054CA" w:rsidRPr="009054CA" w:rsidRDefault="009054CA" w:rsidP="009054CA">
      <w:pPr>
        <w:pStyle w:val="Listaszerbekezds"/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054CA">
        <w:rPr>
          <w:rFonts w:ascii="Times New Roman" w:hAnsi="Times New Roman" w:cs="Times New Roman"/>
          <w:sz w:val="24"/>
          <w:szCs w:val="24"/>
        </w:rPr>
        <w:t>a 0133/14 hrsz-ú telkekre, és</w:t>
      </w:r>
    </w:p>
    <w:p w:rsidR="009054CA" w:rsidRPr="009054CA" w:rsidRDefault="009054CA" w:rsidP="009054CA">
      <w:pPr>
        <w:pStyle w:val="Listaszerbekezds"/>
        <w:widowControl/>
        <w:numPr>
          <w:ilvl w:val="0"/>
          <w:numId w:val="3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054CA">
        <w:rPr>
          <w:rFonts w:ascii="Times New Roman" w:hAnsi="Times New Roman" w:cs="Times New Roman"/>
          <w:sz w:val="24"/>
          <w:szCs w:val="24"/>
        </w:rPr>
        <w:t xml:space="preserve">az a) és b) pont szerinti telkek rendezéshez kapcsolódó </w:t>
      </w:r>
    </w:p>
    <w:p w:rsidR="009054CA" w:rsidRPr="009054CA" w:rsidRDefault="009054CA" w:rsidP="00ED0D64">
      <w:pPr>
        <w:contextualSpacing/>
        <w:rPr>
          <w:rFonts w:cs="Times New Roman"/>
        </w:rPr>
      </w:pPr>
      <w:r w:rsidRPr="009054CA">
        <w:rPr>
          <w:rFonts w:cs="Times New Roman"/>
        </w:rPr>
        <w:t>előírásokra terjed ki.</w:t>
      </w: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2. §</w:t>
      </w: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</w:p>
    <w:p w:rsidR="009054CA" w:rsidRPr="00ED0D64" w:rsidRDefault="009054CA" w:rsidP="00ED0D64">
      <w:pPr>
        <w:pStyle w:val="Listaszerbekezds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4CA">
        <w:rPr>
          <w:rFonts w:ascii="Times New Roman" w:hAnsi="Times New Roman" w:cs="Times New Roman"/>
          <w:sz w:val="24"/>
          <w:szCs w:val="24"/>
        </w:rPr>
        <w:t>Jelen rendelet 1. melléklete tartalmazza</w:t>
      </w:r>
      <w:r w:rsidRPr="009054CA">
        <w:rPr>
          <w:rFonts w:ascii="Times New Roman" w:hAnsi="Times New Roman" w:cs="Times New Roman"/>
          <w:i/>
          <w:sz w:val="24"/>
          <w:szCs w:val="24"/>
        </w:rPr>
        <w:t xml:space="preserve"> Ceglédbercel Önkormányzat Képviselő-testületének Ceglédbercel Község Helyi Építési Szabályzatáról szóló 12/2009. (IX. 17.) önkormányzati rendeletének (a továbbiakban: HÉSZ) Külterületi Szabályozási Terv </w:t>
      </w:r>
      <w:r w:rsidRPr="009054CA">
        <w:rPr>
          <w:rFonts w:ascii="Times New Roman" w:hAnsi="Times New Roman" w:cs="Times New Roman"/>
          <w:sz w:val="24"/>
          <w:szCs w:val="24"/>
        </w:rPr>
        <w:t>mellékletét módosító, Szabályozási Terv M=1:10000 méretarányú szelvényét módosító SZT-1m jelű szabályozási tervlap részletet.</w:t>
      </w: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3. §</w:t>
      </w: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</w:p>
    <w:p w:rsidR="009054CA" w:rsidRPr="009054CA" w:rsidRDefault="009054CA" w:rsidP="00ED0D64">
      <w:pPr>
        <w:pStyle w:val="Cm"/>
        <w:jc w:val="both"/>
      </w:pPr>
      <w:r w:rsidRPr="009054CA">
        <w:rPr>
          <w:b w:val="0"/>
          <w:lang w:val="x-none" w:eastAsia="x-none"/>
        </w:rPr>
        <w:t>A Ceglédbercel Helyi Építési Szabályzatáról szóló</w:t>
      </w:r>
      <w:r w:rsidRPr="009054CA">
        <w:rPr>
          <w:b w:val="0"/>
          <w:lang w:eastAsia="x-none"/>
        </w:rPr>
        <w:t xml:space="preserve"> 12/</w:t>
      </w:r>
      <w:r w:rsidRPr="009054CA">
        <w:rPr>
          <w:b w:val="0"/>
          <w:lang w:val="x-none" w:eastAsia="x-none"/>
        </w:rPr>
        <w:t>2009. (IX. 17.) önkormányzati rendelet</w:t>
      </w:r>
      <w:r w:rsidRPr="009054CA">
        <w:rPr>
          <w:b w:val="0"/>
          <w:lang w:eastAsia="x-none"/>
        </w:rPr>
        <w:t xml:space="preserve"> (a továbbiakban: </w:t>
      </w:r>
      <w:r w:rsidRPr="009054CA">
        <w:rPr>
          <w:b w:val="0"/>
          <w:lang w:val="x-none" w:eastAsia="x-none"/>
        </w:rPr>
        <w:t>Rendelet</w:t>
      </w:r>
      <w:r w:rsidRPr="009054CA">
        <w:rPr>
          <w:b w:val="0"/>
          <w:lang w:eastAsia="x-none"/>
        </w:rPr>
        <w:t>)</w:t>
      </w:r>
      <w:r w:rsidRPr="009054CA">
        <w:rPr>
          <w:b w:val="0"/>
          <w:lang w:val="x-none" w:eastAsia="x-none"/>
        </w:rPr>
        <w:t xml:space="preserve"> 1. § (3) bekezdése helyébe a következő rendelkezés lép:</w:t>
      </w:r>
    </w:p>
    <w:p w:rsidR="009054CA" w:rsidRPr="009054CA" w:rsidRDefault="009054CA" w:rsidP="009054CA">
      <w:pPr>
        <w:keepLines/>
        <w:shd w:val="clear" w:color="auto" w:fill="FFFFFF"/>
        <w:tabs>
          <w:tab w:val="left" w:pos="540"/>
        </w:tabs>
        <w:autoSpaceDE w:val="0"/>
        <w:adjustRightInd w:val="0"/>
        <w:snapToGrid w:val="0"/>
        <w:spacing w:after="120"/>
        <w:jc w:val="both"/>
        <w:rPr>
          <w:rFonts w:cs="Times New Roman"/>
          <w:noProof/>
          <w:spacing w:val="-1"/>
        </w:rPr>
      </w:pPr>
      <w:r w:rsidRPr="009054CA">
        <w:rPr>
          <w:rFonts w:cs="Times New Roman"/>
        </w:rPr>
        <w:t xml:space="preserve">„(3) </w:t>
      </w:r>
      <w:r w:rsidRPr="009054CA">
        <w:rPr>
          <w:rFonts w:cs="Times New Roman"/>
          <w:noProof/>
          <w:spacing w:val="-1"/>
        </w:rPr>
        <w:t>A HÉSZ mellékletei:</w:t>
      </w:r>
    </w:p>
    <w:p w:rsidR="009054CA" w:rsidRPr="009054CA" w:rsidRDefault="009054CA" w:rsidP="009054CA">
      <w:pPr>
        <w:keepLines/>
        <w:shd w:val="clear" w:color="auto" w:fill="FFFFFF"/>
        <w:tabs>
          <w:tab w:val="left" w:pos="540"/>
        </w:tabs>
        <w:autoSpaceDE w:val="0"/>
        <w:adjustRightInd w:val="0"/>
        <w:snapToGrid w:val="0"/>
        <w:spacing w:after="120"/>
        <w:jc w:val="both"/>
        <w:rPr>
          <w:rFonts w:cs="Times New Roman"/>
          <w:noProof/>
        </w:rPr>
      </w:pPr>
      <w:r w:rsidRPr="009054CA">
        <w:rPr>
          <w:rFonts w:cs="Times New Roman"/>
          <w:noProof/>
          <w:spacing w:val="-1"/>
        </w:rPr>
        <w:t xml:space="preserve">a) </w:t>
      </w:r>
      <w:r w:rsidRPr="009054CA">
        <w:rPr>
          <w:rFonts w:cs="Times New Roman"/>
          <w:noProof/>
        </w:rPr>
        <w:t>SZT-1 jelű belterületi szabályozási terv (M=1:4000);</w:t>
      </w:r>
    </w:p>
    <w:p w:rsidR="009054CA" w:rsidRPr="00ED0D64" w:rsidRDefault="009054CA" w:rsidP="00ED0D64">
      <w:pPr>
        <w:keepLines/>
        <w:shd w:val="clear" w:color="auto" w:fill="FFFFFF"/>
        <w:tabs>
          <w:tab w:val="left" w:pos="540"/>
        </w:tabs>
        <w:autoSpaceDE w:val="0"/>
        <w:adjustRightInd w:val="0"/>
        <w:snapToGrid w:val="0"/>
        <w:spacing w:after="120"/>
        <w:jc w:val="both"/>
        <w:rPr>
          <w:rFonts w:cs="Times New Roman"/>
          <w:noProof/>
        </w:rPr>
      </w:pPr>
      <w:r w:rsidRPr="009054CA">
        <w:rPr>
          <w:rFonts w:cs="Times New Roman"/>
          <w:noProof/>
        </w:rPr>
        <w:t>b) SZT-2M jelű külterületi szabályozási terv (M=1:10000).”</w:t>
      </w:r>
    </w:p>
    <w:p w:rsidR="009054CA" w:rsidRDefault="009054CA" w:rsidP="009054CA">
      <w:pPr>
        <w:ind w:left="-6"/>
        <w:jc w:val="center"/>
        <w:rPr>
          <w:rFonts w:cs="Times New Roman"/>
          <w:b/>
        </w:rPr>
      </w:pP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4. §</w:t>
      </w:r>
    </w:p>
    <w:p w:rsidR="009054CA" w:rsidRPr="009054CA" w:rsidRDefault="009054CA" w:rsidP="009054CA">
      <w:pPr>
        <w:ind w:left="-6"/>
        <w:jc w:val="center"/>
        <w:rPr>
          <w:rFonts w:cs="Times New Roman"/>
          <w:b/>
        </w:rPr>
      </w:pPr>
    </w:p>
    <w:p w:rsidR="009054CA" w:rsidRPr="009054CA" w:rsidRDefault="009054CA" w:rsidP="009054CA">
      <w:pPr>
        <w:ind w:left="-6"/>
        <w:rPr>
          <w:rFonts w:cs="Times New Roman"/>
        </w:rPr>
      </w:pPr>
      <w:r w:rsidRPr="009054CA">
        <w:rPr>
          <w:rFonts w:cs="Times New Roman"/>
        </w:rPr>
        <w:t>A Rendelet kiegészül az alábbi 58/A § - sal, és rendelkezéseivel:</w:t>
      </w: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Default="00ED0D64" w:rsidP="00ED0D64">
      <w:pPr>
        <w:rPr>
          <w:rFonts w:cs="Times New Roman"/>
          <w:b/>
        </w:rPr>
      </w:pPr>
    </w:p>
    <w:p w:rsidR="00ED0D64" w:rsidRPr="009054CA" w:rsidRDefault="00ED0D64" w:rsidP="00ED0D64">
      <w:pPr>
        <w:rPr>
          <w:rFonts w:cs="Times New Roman"/>
          <w:b/>
        </w:rPr>
      </w:pPr>
    </w:p>
    <w:p w:rsidR="009054CA" w:rsidRPr="009054CA" w:rsidRDefault="009054CA" w:rsidP="009054CA">
      <w:pPr>
        <w:keepLines/>
        <w:shd w:val="clear" w:color="auto" w:fill="FFFFFF"/>
        <w:snapToGrid w:val="0"/>
        <w:jc w:val="center"/>
        <w:rPr>
          <w:rFonts w:cs="Times New Roman"/>
          <w:b/>
          <w:bCs/>
          <w:noProof/>
          <w:spacing w:val="13"/>
        </w:rPr>
      </w:pPr>
      <w:r w:rsidRPr="009054CA">
        <w:rPr>
          <w:rFonts w:cs="Times New Roman"/>
          <w:b/>
          <w:bCs/>
          <w:noProof/>
          <w:spacing w:val="13"/>
        </w:rPr>
        <w:t>„58/A. §</w:t>
      </w:r>
    </w:p>
    <w:p w:rsidR="009054CA" w:rsidRPr="009054CA" w:rsidRDefault="009054CA" w:rsidP="009054CA">
      <w:pPr>
        <w:keepLines/>
        <w:shd w:val="clear" w:color="auto" w:fill="FFFFFF"/>
        <w:snapToGrid w:val="0"/>
        <w:jc w:val="center"/>
        <w:rPr>
          <w:rFonts w:cs="Times New Roman"/>
          <w:b/>
          <w:bCs/>
          <w:noProof/>
          <w:spacing w:val="-2"/>
        </w:rPr>
      </w:pPr>
      <w:r w:rsidRPr="009054CA">
        <w:rPr>
          <w:rFonts w:cs="Times New Roman"/>
          <w:b/>
          <w:bCs/>
          <w:noProof/>
          <w:spacing w:val="-2"/>
        </w:rPr>
        <w:t xml:space="preserve">A Kb-sz jelű különleges beépítésre nem szánt övezet </w:t>
      </w:r>
    </w:p>
    <w:p w:rsidR="00ED0D64" w:rsidRPr="00ED0D64" w:rsidRDefault="009054CA" w:rsidP="00ED0D64">
      <w:pPr>
        <w:keepLines/>
        <w:shd w:val="clear" w:color="auto" w:fill="FFFFFF"/>
        <w:snapToGrid w:val="0"/>
        <w:jc w:val="center"/>
        <w:rPr>
          <w:rFonts w:cs="Times New Roman"/>
          <w:b/>
          <w:bCs/>
          <w:noProof/>
          <w:spacing w:val="-2"/>
        </w:rPr>
      </w:pPr>
      <w:r w:rsidRPr="009054CA">
        <w:rPr>
          <w:rFonts w:cs="Times New Roman"/>
          <w:b/>
          <w:bCs/>
          <w:noProof/>
          <w:spacing w:val="-2"/>
        </w:rPr>
        <w:t>(szennyvíztisztító területe)</w:t>
      </w:r>
    </w:p>
    <w:p w:rsidR="00ED0D64" w:rsidRPr="009054CA" w:rsidRDefault="00ED0D64" w:rsidP="009054CA">
      <w:pPr>
        <w:keepLines/>
        <w:shd w:val="clear" w:color="auto" w:fill="FFFFFF"/>
        <w:snapToGrid w:val="0"/>
        <w:spacing w:before="120" w:after="120"/>
        <w:jc w:val="both"/>
        <w:rPr>
          <w:rFonts w:cs="Times New Roman"/>
          <w:noProof/>
          <w:spacing w:val="-1"/>
        </w:rPr>
      </w:pPr>
    </w:p>
    <w:p w:rsidR="009054CA" w:rsidRPr="009054CA" w:rsidRDefault="009054CA" w:rsidP="009054CA">
      <w:pPr>
        <w:keepLines/>
        <w:numPr>
          <w:ilvl w:val="0"/>
          <w:numId w:val="6"/>
        </w:numPr>
        <w:shd w:val="clear" w:color="auto" w:fill="FFFFFF"/>
        <w:suppressAutoHyphens w:val="0"/>
        <w:autoSpaceDE w:val="0"/>
        <w:adjustRightInd w:val="0"/>
        <w:snapToGrid w:val="0"/>
        <w:spacing w:before="120" w:after="12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Az övezetre vonatkzó beépítési paraméterek:</w:t>
      </w:r>
    </w:p>
    <w:tbl>
      <w:tblPr>
        <w:tblW w:w="970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53"/>
        <w:gridCol w:w="973"/>
        <w:gridCol w:w="966"/>
        <w:gridCol w:w="973"/>
        <w:gridCol w:w="944"/>
        <w:gridCol w:w="955"/>
        <w:gridCol w:w="968"/>
        <w:gridCol w:w="986"/>
        <w:gridCol w:w="1005"/>
      </w:tblGrid>
      <w:tr w:rsidR="009054CA" w:rsidRPr="009054CA" w:rsidTr="00AF4BD2">
        <w:trPr>
          <w:trHeight w:hRule="exact" w:val="53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24" w:right="2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Beépítési mód</w:t>
            </w: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Az építési telek</w:t>
            </w:r>
          </w:p>
        </w:tc>
        <w:tc>
          <w:tcPr>
            <w:tcW w:w="58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/>
              <w:ind w:left="1637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A beépítésnél alkalmazható</w:t>
            </w:r>
          </w:p>
        </w:tc>
      </w:tr>
      <w:tr w:rsidR="009054CA" w:rsidRPr="009054CA" w:rsidTr="00AF4BD2">
        <w:trPr>
          <w:trHeight w:hRule="exact" w:val="260"/>
          <w:jc w:val="center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napToGrid w:val="0"/>
              <w:spacing w:before="100" w:beforeAutospacing="1" w:after="100" w:afterAutospacing="1"/>
              <w:jc w:val="both"/>
              <w:rPr>
                <w:rFonts w:cs="Times New Roman"/>
                <w:noProof/>
              </w:rPr>
            </w:pPr>
          </w:p>
          <w:p w:rsidR="009054CA" w:rsidRPr="009054CA" w:rsidRDefault="009054CA" w:rsidP="00AF4BD2">
            <w:pPr>
              <w:keepLines/>
              <w:snapToGrid w:val="0"/>
              <w:spacing w:before="100" w:beforeAutospacing="1" w:after="100" w:afterAutospacing="1"/>
              <w:jc w:val="both"/>
              <w:rPr>
                <w:rFonts w:cs="Times New Roman"/>
                <w:noProof/>
              </w:rPr>
            </w:pPr>
          </w:p>
        </w:tc>
        <w:tc>
          <w:tcPr>
            <w:tcW w:w="2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5"/>
                <w:w w:val="94"/>
              </w:rPr>
              <w:t>legkisebb</w:t>
            </w: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/>
              <w:ind w:left="1301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6"/>
                <w:w w:val="94"/>
              </w:rPr>
              <w:t>legnagyobb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/>
              <w:ind w:left="470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3"/>
                <w:w w:val="94"/>
              </w:rPr>
              <w:t>legkisebb</w:t>
            </w:r>
          </w:p>
        </w:tc>
      </w:tr>
      <w:tr w:rsidR="009054CA" w:rsidRPr="009054CA" w:rsidTr="00AF4BD2">
        <w:trPr>
          <w:trHeight w:hRule="exact" w:val="1185"/>
          <w:jc w:val="center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napToGrid w:val="0"/>
              <w:spacing w:before="100" w:beforeAutospacing="1" w:after="100" w:afterAutospacing="1"/>
              <w:jc w:val="both"/>
              <w:rPr>
                <w:rFonts w:cs="Times New Roman"/>
                <w:noProof/>
              </w:rPr>
            </w:pPr>
          </w:p>
          <w:p w:rsidR="009054CA" w:rsidRPr="009054CA" w:rsidRDefault="009054CA" w:rsidP="00AF4BD2">
            <w:pPr>
              <w:keepLines/>
              <w:snapToGrid w:val="0"/>
              <w:spacing w:before="100" w:beforeAutospacing="1" w:after="100" w:afterAutospacing="1"/>
              <w:jc w:val="both"/>
              <w:rPr>
                <w:rFonts w:cs="Times New Roman"/>
                <w:noProof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50" w:lineRule="exact"/>
              <w:ind w:left="72" w:right="82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4"/>
                <w:w w:val="94"/>
              </w:rPr>
              <w:t xml:space="preserve">területe </w:t>
            </w:r>
            <w:r w:rsidRPr="009054CA">
              <w:rPr>
                <w:rFonts w:cs="Times New Roman"/>
                <w:noProof/>
                <w:spacing w:val="-19"/>
                <w:w w:val="94"/>
              </w:rPr>
              <w:t>(m</w:t>
            </w:r>
            <w:r w:rsidRPr="009054CA">
              <w:rPr>
                <w:rFonts w:cs="Times New Roman"/>
                <w:noProof/>
                <w:spacing w:val="-19"/>
                <w:w w:val="94"/>
                <w:vertAlign w:val="superscript"/>
              </w:rPr>
              <w:t>2</w:t>
            </w:r>
            <w:r w:rsidRPr="009054CA">
              <w:rPr>
                <w:rFonts w:cs="Times New Roman"/>
                <w:noProof/>
                <w:spacing w:val="-19"/>
                <w:w w:val="94"/>
              </w:rPr>
              <w:t>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91" w:right="106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5"/>
                <w:w w:val="94"/>
              </w:rPr>
              <w:t>széles-</w:t>
            </w:r>
            <w:r w:rsidRPr="009054CA">
              <w:rPr>
                <w:rFonts w:cs="Times New Roman"/>
                <w:noProof/>
                <w:spacing w:val="-19"/>
                <w:w w:val="94"/>
              </w:rPr>
              <w:t>sége (m)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right="10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6"/>
                <w:w w:val="94"/>
              </w:rPr>
              <w:t xml:space="preserve">mélysége </w:t>
            </w:r>
            <w:r w:rsidRPr="009054CA">
              <w:rPr>
                <w:rFonts w:cs="Times New Roman"/>
                <w:noProof/>
                <w:spacing w:val="-19"/>
                <w:w w:val="94"/>
              </w:rPr>
              <w:t>(m)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2"/>
                <w:w w:val="94"/>
              </w:rPr>
              <w:t>beépített-</w:t>
            </w:r>
            <w:r w:rsidRPr="009054CA">
              <w:rPr>
                <w:rFonts w:cs="Times New Roman"/>
                <w:noProof/>
                <w:spacing w:val="-20"/>
                <w:w w:val="94"/>
              </w:rPr>
              <w:t xml:space="preserve">ség </w:t>
            </w:r>
            <w:r w:rsidRPr="009054CA">
              <w:rPr>
                <w:rFonts w:cs="Times New Roman"/>
                <w:noProof/>
                <w:spacing w:val="-12"/>
                <w:w w:val="94"/>
              </w:rPr>
              <w:t xml:space="preserve">terepszint </w:t>
            </w:r>
            <w:r w:rsidRPr="009054CA">
              <w:rPr>
                <w:rFonts w:cs="Times New Roman"/>
                <w:noProof/>
                <w:spacing w:val="-11"/>
                <w:w w:val="94"/>
              </w:rPr>
              <w:t xml:space="preserve">felett </w:t>
            </w:r>
            <w:r w:rsidRPr="009054CA">
              <w:rPr>
                <w:rFonts w:cs="Times New Roman"/>
                <w:noProof/>
                <w:spacing w:val="-21"/>
                <w:w w:val="94"/>
              </w:rPr>
              <w:t>(%)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45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3"/>
                <w:w w:val="94"/>
              </w:rPr>
              <w:t>beépített-</w:t>
            </w:r>
            <w:r w:rsidRPr="009054CA">
              <w:rPr>
                <w:rFonts w:cs="Times New Roman"/>
                <w:noProof/>
                <w:spacing w:val="-20"/>
                <w:w w:val="94"/>
              </w:rPr>
              <w:t xml:space="preserve">ség </w:t>
            </w:r>
            <w:r w:rsidRPr="009054CA">
              <w:rPr>
                <w:rFonts w:cs="Times New Roman"/>
                <w:noProof/>
                <w:spacing w:val="-14"/>
                <w:w w:val="94"/>
              </w:rPr>
              <w:t xml:space="preserve">terepszint </w:t>
            </w:r>
            <w:r w:rsidRPr="009054CA">
              <w:rPr>
                <w:rFonts w:cs="Times New Roman"/>
                <w:noProof/>
                <w:spacing w:val="-12"/>
                <w:w w:val="94"/>
              </w:rPr>
              <w:t xml:space="preserve">alatt </w:t>
            </w:r>
            <w:r w:rsidRPr="009054CA">
              <w:rPr>
                <w:rFonts w:cs="Times New Roman"/>
                <w:noProof/>
                <w:spacing w:val="-23"/>
                <w:w w:val="94"/>
              </w:rPr>
              <w:t>(%)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0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5"/>
                <w:w w:val="94"/>
              </w:rPr>
              <w:t xml:space="preserve">bruttó </w:t>
            </w:r>
            <w:r w:rsidRPr="009054CA">
              <w:rPr>
                <w:rFonts w:cs="Times New Roman"/>
                <w:noProof/>
                <w:spacing w:val="-13"/>
                <w:w w:val="94"/>
              </w:rPr>
              <w:t xml:space="preserve">szintterü-leti mutató </w:t>
            </w:r>
            <w:r w:rsidRPr="009054CA">
              <w:rPr>
                <w:rFonts w:cs="Times New Roman"/>
                <w:noProof/>
                <w:spacing w:val="-15"/>
                <w:w w:val="94"/>
              </w:rPr>
              <w:t>(épület m</w:t>
            </w:r>
            <w:r w:rsidRPr="009054CA">
              <w:rPr>
                <w:rFonts w:cs="Times New Roman"/>
                <w:noProof/>
                <w:spacing w:val="-15"/>
                <w:w w:val="94"/>
                <w:vertAlign w:val="superscript"/>
              </w:rPr>
              <w:t>2</w:t>
            </w:r>
            <w:r w:rsidRPr="009054CA">
              <w:rPr>
                <w:rFonts w:cs="Times New Roman"/>
                <w:noProof/>
                <w:spacing w:val="-15"/>
                <w:w w:val="94"/>
              </w:rPr>
              <w:t xml:space="preserve"> </w:t>
            </w:r>
            <w:r w:rsidRPr="009054CA">
              <w:rPr>
                <w:rFonts w:cs="Times New Roman"/>
                <w:noProof/>
                <w:spacing w:val="-14"/>
                <w:w w:val="94"/>
              </w:rPr>
              <w:t>/telek m</w:t>
            </w:r>
            <w:r w:rsidRPr="009054CA">
              <w:rPr>
                <w:rFonts w:cs="Times New Roman"/>
                <w:noProof/>
                <w:spacing w:val="-14"/>
                <w:w w:val="94"/>
                <w:vertAlign w:val="superscript"/>
              </w:rPr>
              <w:t>2</w:t>
            </w:r>
            <w:r w:rsidRPr="009054CA">
              <w:rPr>
                <w:rFonts w:cs="Times New Roman"/>
                <w:noProof/>
                <w:spacing w:val="-14"/>
                <w:w w:val="94"/>
              </w:rPr>
              <w:t>)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/>
                <w:noProof/>
                <w:spacing w:val="-18"/>
                <w:w w:val="94"/>
              </w:rPr>
            </w:pPr>
            <w:r w:rsidRPr="009054CA">
              <w:rPr>
                <w:rFonts w:cs="Times New Roman"/>
                <w:noProof/>
                <w:spacing w:val="-14"/>
                <w:w w:val="94"/>
              </w:rPr>
              <w:t xml:space="preserve">építmény </w:t>
            </w:r>
            <w:r w:rsidRPr="009054CA">
              <w:rPr>
                <w:rFonts w:cs="Times New Roman"/>
                <w:noProof/>
                <w:spacing w:val="-18"/>
                <w:w w:val="94"/>
              </w:rPr>
              <w:t xml:space="preserve">magasság </w:t>
            </w:r>
          </w:p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40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21"/>
                <w:w w:val="94"/>
              </w:rPr>
              <w:t>(m)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3"/>
                <w:w w:val="94"/>
              </w:rPr>
              <w:t xml:space="preserve">építmény </w:t>
            </w:r>
            <w:r w:rsidRPr="009054CA">
              <w:rPr>
                <w:rFonts w:cs="Times New Roman"/>
                <w:noProof/>
                <w:spacing w:val="-17"/>
                <w:w w:val="94"/>
              </w:rPr>
              <w:t>magasság</w:t>
            </w:r>
          </w:p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19"/>
                <w:w w:val="94"/>
              </w:rPr>
              <w:t>(m)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54" w:lineRule="exact"/>
              <w:jc w:val="center"/>
              <w:rPr>
                <w:rFonts w:cs="Times New Roman"/>
                <w:noProof/>
                <w:spacing w:val="-12"/>
                <w:w w:val="94"/>
              </w:rPr>
            </w:pPr>
            <w:r w:rsidRPr="009054CA">
              <w:rPr>
                <w:rFonts w:cs="Times New Roman"/>
                <w:noProof/>
                <w:spacing w:val="-11"/>
                <w:w w:val="94"/>
              </w:rPr>
              <w:t xml:space="preserve">zöldfelületi </w:t>
            </w:r>
            <w:r w:rsidRPr="009054CA">
              <w:rPr>
                <w:rFonts w:cs="Times New Roman"/>
                <w:noProof/>
                <w:spacing w:val="-12"/>
                <w:w w:val="94"/>
              </w:rPr>
              <w:t xml:space="preserve">arány </w:t>
            </w:r>
          </w:p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54" w:lineRule="exact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  <w:spacing w:val="-20"/>
                <w:w w:val="94"/>
              </w:rPr>
              <w:t>(%)</w:t>
            </w:r>
          </w:p>
        </w:tc>
      </w:tr>
      <w:tr w:rsidR="009054CA" w:rsidRPr="009054CA" w:rsidTr="00AF4BD2">
        <w:trPr>
          <w:trHeight w:hRule="exact" w:val="544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szabadonálló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-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10**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10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-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7,5*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54CA" w:rsidRPr="009054CA" w:rsidRDefault="009054CA" w:rsidP="00AF4BD2">
            <w:pPr>
              <w:keepLines/>
              <w:shd w:val="clear" w:color="auto" w:fill="FFFFFF"/>
              <w:snapToGrid w:val="0"/>
              <w:spacing w:before="100" w:beforeAutospacing="1" w:after="100" w:afterAutospacing="1" w:line="235" w:lineRule="exact"/>
              <w:ind w:left="14"/>
              <w:jc w:val="center"/>
              <w:rPr>
                <w:rFonts w:cs="Times New Roman"/>
                <w:noProof/>
              </w:rPr>
            </w:pPr>
            <w:r w:rsidRPr="009054CA">
              <w:rPr>
                <w:rFonts w:cs="Times New Roman"/>
                <w:noProof/>
              </w:rPr>
              <w:t>10</w:t>
            </w:r>
          </w:p>
        </w:tc>
      </w:tr>
    </w:tbl>
    <w:p w:rsidR="009054CA" w:rsidRPr="009054CA" w:rsidRDefault="009054CA" w:rsidP="009054CA">
      <w:pPr>
        <w:keepLines/>
        <w:numPr>
          <w:ilvl w:val="0"/>
          <w:numId w:val="5"/>
        </w:numPr>
        <w:shd w:val="clear" w:color="auto" w:fill="FFFFFF"/>
        <w:suppressAutoHyphens w:val="0"/>
        <w:autoSpaceDE w:val="0"/>
        <w:adjustRightInd w:val="0"/>
        <w:snapToGrid w:val="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 szennyvíztisztítási technológiát kiszolgáló technológiai építmények esetében 15,0 méter</w:t>
      </w:r>
    </w:p>
    <w:p w:rsidR="009054CA" w:rsidRPr="009054CA" w:rsidRDefault="009054CA" w:rsidP="009054CA">
      <w:pPr>
        <w:keepLines/>
        <w:shd w:val="clear" w:color="auto" w:fill="FFFFFF"/>
        <w:autoSpaceDE w:val="0"/>
        <w:adjustRightInd w:val="0"/>
        <w:snapToGrid w:val="0"/>
        <w:ind w:left="360"/>
        <w:jc w:val="both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 xml:space="preserve">**  az OTÉK követelményeknél megengedőbb követelmény (alkalmazásához az állami főépítészi hatáskörében eljáró </w:t>
      </w:r>
      <w:r w:rsidR="0018018E">
        <w:rPr>
          <w:rFonts w:cs="Times New Roman"/>
          <w:noProof/>
          <w:spacing w:val="-1"/>
        </w:rPr>
        <w:t xml:space="preserve">Pest </w:t>
      </w:r>
      <w:r w:rsidRPr="009054CA">
        <w:rPr>
          <w:rFonts w:cs="Times New Roman"/>
          <w:noProof/>
          <w:spacing w:val="-1"/>
        </w:rPr>
        <w:t xml:space="preserve"> </w:t>
      </w:r>
      <w:r w:rsidR="0018018E">
        <w:rPr>
          <w:rFonts w:cs="Times New Roman"/>
          <w:noProof/>
          <w:spacing w:val="-1"/>
        </w:rPr>
        <w:t>Megyei K</w:t>
      </w:r>
      <w:r w:rsidRPr="009054CA">
        <w:rPr>
          <w:rFonts w:cs="Times New Roman"/>
          <w:noProof/>
          <w:spacing w:val="-1"/>
        </w:rPr>
        <w:t xml:space="preserve">ormányhivatal </w:t>
      </w:r>
      <w:r w:rsidR="0018018E">
        <w:rPr>
          <w:rFonts w:cs="Times New Roman"/>
          <w:noProof/>
          <w:spacing w:val="-1"/>
        </w:rPr>
        <w:t xml:space="preserve">PE/AF/00127-11/2017 </w:t>
      </w:r>
      <w:r w:rsidRPr="009054CA">
        <w:rPr>
          <w:rFonts w:cs="Times New Roman"/>
          <w:noProof/>
          <w:spacing w:val="-1"/>
        </w:rPr>
        <w:t>számú záró szakmai véleményében adta meg hozzájárulását)</w:t>
      </w:r>
    </w:p>
    <w:p w:rsidR="009054CA" w:rsidRPr="009054CA" w:rsidRDefault="009054CA" w:rsidP="009054CA">
      <w:pPr>
        <w:keepLines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snapToGrid w:val="0"/>
        <w:spacing w:before="240"/>
        <w:ind w:left="540" w:hanging="54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Az övezet területén a szennyvíztisztító telep rendeltetésszerű használatát biztosító építmények helyezhetők el.</w:t>
      </w:r>
    </w:p>
    <w:p w:rsidR="009054CA" w:rsidRPr="009054CA" w:rsidRDefault="009054CA" w:rsidP="009054CA">
      <w:pPr>
        <w:keepLines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snapToGrid w:val="0"/>
        <w:spacing w:before="240"/>
        <w:ind w:left="540" w:hanging="54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Az övezetben az elő-, oldal- és hátsókert nagysága 3,0 méter. Az előkert mértéke a be nem építhető terület határától számítandó.</w:t>
      </w:r>
    </w:p>
    <w:p w:rsidR="009054CA" w:rsidRPr="009054CA" w:rsidRDefault="009054CA" w:rsidP="009054CA">
      <w:pPr>
        <w:keepLines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snapToGrid w:val="0"/>
        <w:spacing w:before="240"/>
        <w:ind w:left="540" w:hanging="54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 szennyvíztiszító védőtávolsága a létesítményt tartalmazó telek telekhatárától számított 500 méter.</w:t>
      </w:r>
    </w:p>
    <w:p w:rsidR="009054CA" w:rsidRPr="009054CA" w:rsidRDefault="009054CA" w:rsidP="009054CA">
      <w:pPr>
        <w:keepLines/>
        <w:numPr>
          <w:ilvl w:val="0"/>
          <w:numId w:val="7"/>
        </w:numPr>
        <w:shd w:val="clear" w:color="auto" w:fill="FFFFFF"/>
        <w:suppressAutoHyphens w:val="0"/>
        <w:autoSpaceDE w:val="0"/>
        <w:adjustRightInd w:val="0"/>
        <w:snapToGrid w:val="0"/>
        <w:spacing w:before="240"/>
        <w:ind w:left="540" w:hanging="540"/>
        <w:jc w:val="both"/>
        <w:textAlignment w:val="auto"/>
        <w:rPr>
          <w:rFonts w:cs="Times New Roman"/>
          <w:noProof/>
          <w:spacing w:val="-1"/>
        </w:rPr>
      </w:pPr>
      <w:r w:rsidRPr="009054CA">
        <w:rPr>
          <w:rFonts w:cs="Times New Roman"/>
          <w:noProof/>
          <w:spacing w:val="-1"/>
        </w:rPr>
        <w:t>A be nem építhető területen belül épület nem helyezhető el.</w:t>
      </w:r>
    </w:p>
    <w:p w:rsidR="009054CA" w:rsidRPr="009054CA" w:rsidRDefault="009054CA" w:rsidP="00ED0D64">
      <w:pPr>
        <w:pStyle w:val="Felsorols"/>
        <w:numPr>
          <w:ilvl w:val="0"/>
          <w:numId w:val="0"/>
        </w:numPr>
        <w:tabs>
          <w:tab w:val="num" w:pos="567"/>
        </w:tabs>
        <w:spacing w:before="0"/>
        <w:jc w:val="both"/>
        <w:rPr>
          <w:b w:val="0"/>
        </w:rPr>
      </w:pPr>
    </w:p>
    <w:p w:rsidR="009054CA" w:rsidRPr="009054CA" w:rsidRDefault="009054CA" w:rsidP="00ED0D64">
      <w:pPr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5. §</w:t>
      </w:r>
    </w:p>
    <w:p w:rsidR="009054CA" w:rsidRPr="009054CA" w:rsidRDefault="009054CA" w:rsidP="009054CA">
      <w:pPr>
        <w:jc w:val="center"/>
        <w:rPr>
          <w:rFonts w:cs="Times New Roman"/>
          <w:b/>
        </w:rPr>
      </w:pPr>
    </w:p>
    <w:p w:rsidR="009054CA" w:rsidRPr="009054CA" w:rsidRDefault="009054CA" w:rsidP="009054CA">
      <w:pPr>
        <w:rPr>
          <w:rFonts w:cs="Times New Roman"/>
        </w:rPr>
      </w:pPr>
      <w:r w:rsidRPr="009054CA">
        <w:rPr>
          <w:rFonts w:cs="Times New Roman"/>
        </w:rPr>
        <w:t xml:space="preserve">A Rendeletben hatályon kívül kerülnek az 54. § és 55. §-ok. </w:t>
      </w:r>
    </w:p>
    <w:p w:rsidR="009054CA" w:rsidRPr="009054CA" w:rsidRDefault="009054CA" w:rsidP="00ED0D64">
      <w:pPr>
        <w:rPr>
          <w:rFonts w:cs="Times New Roman"/>
          <w:b/>
        </w:rPr>
      </w:pPr>
    </w:p>
    <w:p w:rsidR="009054CA" w:rsidRPr="009054CA" w:rsidRDefault="009054CA" w:rsidP="00ED0D64">
      <w:pPr>
        <w:jc w:val="center"/>
        <w:rPr>
          <w:rFonts w:cs="Times New Roman"/>
          <w:b/>
        </w:rPr>
      </w:pPr>
      <w:r w:rsidRPr="009054CA">
        <w:rPr>
          <w:rFonts w:cs="Times New Roman"/>
          <w:b/>
        </w:rPr>
        <w:t>6. §</w:t>
      </w:r>
    </w:p>
    <w:p w:rsidR="009054CA" w:rsidRPr="009054CA" w:rsidRDefault="009054CA" w:rsidP="009054CA">
      <w:pPr>
        <w:pStyle w:val="Rendelet1szint"/>
        <w:numPr>
          <w:ilvl w:val="0"/>
          <w:numId w:val="0"/>
        </w:numPr>
        <w:ind w:left="567" w:hanging="567"/>
        <w:rPr>
          <w:rFonts w:ascii="Times New Roman" w:hAnsi="Times New Roman"/>
          <w:sz w:val="24"/>
          <w:szCs w:val="24"/>
          <w:lang w:val="hu-HU" w:eastAsia="hu-HU"/>
        </w:rPr>
      </w:pPr>
      <w:r w:rsidRPr="009054CA">
        <w:rPr>
          <w:rStyle w:val="StlussbekAutomatikusChar"/>
          <w:rFonts w:ascii="Times New Roman" w:hAnsi="Times New Roman"/>
          <w:color w:val="auto"/>
          <w:sz w:val="24"/>
          <w:szCs w:val="24"/>
        </w:rPr>
        <w:t>Záró rendelkezések</w:t>
      </w:r>
    </w:p>
    <w:p w:rsidR="009054CA" w:rsidRPr="009054CA" w:rsidRDefault="009054CA" w:rsidP="009054CA">
      <w:pPr>
        <w:pStyle w:val="Rendelet2szintszmnlkl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sz w:val="24"/>
          <w:szCs w:val="24"/>
        </w:rPr>
        <w:t>Jelen rendelet a kihirdetését követő napon lép hatályba.</w:t>
      </w:r>
    </w:p>
    <w:p w:rsidR="009054CA" w:rsidRDefault="009054CA" w:rsidP="00ED0D64">
      <w:pPr>
        <w:pStyle w:val="Rendelet2szintszmnlkl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sz w:val="24"/>
          <w:szCs w:val="24"/>
        </w:rPr>
        <w:t>Jelen rendelet előírásait a hatálybalépését követően indított ügyekben kell alkalmazni.</w:t>
      </w: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  <w:bookmarkStart w:id="0" w:name="_GoBack"/>
      <w:bookmarkEnd w:id="0"/>
    </w:p>
    <w:p w:rsid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ED0D64" w:rsidRPr="00ED0D64" w:rsidRDefault="00ED0D64" w:rsidP="00ED0D64">
      <w:pPr>
        <w:pStyle w:val="Rendelet1szint"/>
        <w:numPr>
          <w:ilvl w:val="0"/>
          <w:numId w:val="0"/>
        </w:numPr>
        <w:ind w:left="567" w:hanging="567"/>
      </w:pPr>
    </w:p>
    <w:p w:rsidR="009054CA" w:rsidRPr="00ED0D64" w:rsidRDefault="009054CA" w:rsidP="00ED0D64">
      <w:pPr>
        <w:pStyle w:val="Rendelet2szintszmnlkl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sz w:val="24"/>
          <w:szCs w:val="24"/>
        </w:rPr>
        <w:t>Jelen rendelet hatályba lépésével egyidejűleg jelen rendelet 1. melléklete szerinti szabályozási tartalom az 1. § szerinti területi hatállyal érintett területre a Rendelet SZT-2 jelű szabályozási terv adott területi hatálya alá tartozó szabályozási tartalom helyébe lép, a rendelet hatálybalépését követően a szabályozási terv SZT-2 szelvényének lecserélésével, azzal, hogy a szelvény az SZT-2M nevet kapja.</w:t>
      </w:r>
    </w:p>
    <w:p w:rsidR="00ED0D64" w:rsidRDefault="00ED0D64" w:rsidP="009054CA">
      <w:pPr>
        <w:tabs>
          <w:tab w:val="left" w:pos="993"/>
        </w:tabs>
        <w:ind w:left="567"/>
        <w:rPr>
          <w:rFonts w:cs="Times New Roman"/>
        </w:rPr>
      </w:pPr>
    </w:p>
    <w:p w:rsidR="00EF0AA2" w:rsidRDefault="00EF0AA2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Default="009054CA" w:rsidP="009054CA">
      <w:pPr>
        <w:tabs>
          <w:tab w:val="left" w:pos="993"/>
        </w:tabs>
        <w:ind w:left="567"/>
        <w:rPr>
          <w:rFonts w:cs="Times New Roman"/>
        </w:rPr>
      </w:pPr>
    </w:p>
    <w:p w:rsidR="00BF2F0E" w:rsidRPr="009054CA" w:rsidRDefault="00BF2F0E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Pr="009054CA" w:rsidRDefault="00ED0D64" w:rsidP="009054CA">
      <w:pPr>
        <w:tabs>
          <w:tab w:val="left" w:pos="993"/>
        </w:tabs>
        <w:ind w:left="567"/>
        <w:rPr>
          <w:rFonts w:cs="Times New Roman"/>
        </w:rPr>
      </w:pPr>
      <w:r>
        <w:rPr>
          <w:rFonts w:cs="Times New Roman"/>
        </w:rPr>
        <w:t xml:space="preserve">      Török József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Pető Zsolt</w:t>
      </w:r>
    </w:p>
    <w:p w:rsidR="009054CA" w:rsidRPr="009054CA" w:rsidRDefault="00ED0D64" w:rsidP="009054CA">
      <w:pPr>
        <w:tabs>
          <w:tab w:val="left" w:pos="993"/>
        </w:tabs>
        <w:ind w:left="567"/>
        <w:rPr>
          <w:rFonts w:cs="Times New Roman"/>
        </w:rPr>
      </w:pPr>
      <w:r>
        <w:rPr>
          <w:rFonts w:cs="Times New Roman"/>
        </w:rPr>
        <w:t xml:space="preserve">       polgármester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j</w:t>
      </w:r>
      <w:r w:rsidR="009054CA" w:rsidRPr="009054CA">
        <w:rPr>
          <w:rFonts w:cs="Times New Roman"/>
        </w:rPr>
        <w:t>egyző</w:t>
      </w: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Default="009054CA" w:rsidP="00ED0D64">
      <w:pPr>
        <w:tabs>
          <w:tab w:val="left" w:pos="993"/>
        </w:tabs>
        <w:rPr>
          <w:rFonts w:cs="Times New Roman"/>
        </w:rPr>
      </w:pPr>
    </w:p>
    <w:p w:rsidR="00ED0D64" w:rsidRPr="009054CA" w:rsidRDefault="00ED0D64" w:rsidP="00ED0D64">
      <w:pPr>
        <w:tabs>
          <w:tab w:val="left" w:pos="993"/>
        </w:tabs>
        <w:rPr>
          <w:rFonts w:cs="Times New Roman"/>
        </w:rPr>
      </w:pPr>
    </w:p>
    <w:p w:rsidR="009054CA" w:rsidRPr="00ED0D64" w:rsidRDefault="009054CA" w:rsidP="009054CA">
      <w:pPr>
        <w:tabs>
          <w:tab w:val="left" w:pos="993"/>
        </w:tabs>
        <w:ind w:left="567"/>
        <w:rPr>
          <w:rFonts w:cs="Times New Roman"/>
        </w:rPr>
      </w:pPr>
      <w:r w:rsidRPr="00ED0D64">
        <w:rPr>
          <w:rFonts w:cs="Times New Roman"/>
        </w:rPr>
        <w:t xml:space="preserve">A </w:t>
      </w:r>
      <w:r w:rsidR="002E50FE">
        <w:rPr>
          <w:rFonts w:cs="Times New Roman"/>
        </w:rPr>
        <w:t>10/2017. (V. 17.) ön</w:t>
      </w:r>
      <w:r w:rsidR="00ED0D64">
        <w:rPr>
          <w:rFonts w:cs="Times New Roman"/>
        </w:rPr>
        <w:t xml:space="preserve">kormányzati rendelet 2017. május 17-én kihirdetésre került. </w:t>
      </w:r>
      <w:r w:rsidRPr="00ED0D64">
        <w:rPr>
          <w:rFonts w:cs="Times New Roman"/>
        </w:rPr>
        <w:tab/>
      </w:r>
    </w:p>
    <w:p w:rsidR="009054CA" w:rsidRDefault="009054CA" w:rsidP="009054CA">
      <w:pPr>
        <w:tabs>
          <w:tab w:val="left" w:pos="993"/>
        </w:tabs>
        <w:ind w:left="567"/>
        <w:rPr>
          <w:rFonts w:cs="Times New Roman"/>
        </w:rPr>
      </w:pP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</w:r>
      <w:r w:rsidRPr="00ED0D64">
        <w:rPr>
          <w:rFonts w:cs="Times New Roman"/>
        </w:rPr>
        <w:tab/>
        <w:t xml:space="preserve"> </w:t>
      </w:r>
    </w:p>
    <w:p w:rsidR="00ED0D64" w:rsidRDefault="00ED0D64" w:rsidP="009054CA">
      <w:pPr>
        <w:tabs>
          <w:tab w:val="left" w:pos="993"/>
        </w:tabs>
        <w:ind w:left="567"/>
        <w:rPr>
          <w:rFonts w:cs="Times New Roman"/>
        </w:rPr>
      </w:pPr>
    </w:p>
    <w:p w:rsidR="00ED0D64" w:rsidRPr="00ED0D64" w:rsidRDefault="00ED0D64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Pr="00ED0D64" w:rsidRDefault="00ED0D64" w:rsidP="009054CA">
      <w:pPr>
        <w:tabs>
          <w:tab w:val="left" w:pos="993"/>
        </w:tabs>
        <w:ind w:left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Pető Zsolt</w:t>
      </w: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</w:rPr>
      </w:pP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="00ED0D64">
        <w:rPr>
          <w:rFonts w:cs="Times New Roman"/>
        </w:rPr>
        <w:t>j</w:t>
      </w:r>
      <w:r w:rsidRPr="009054CA">
        <w:rPr>
          <w:rFonts w:cs="Times New Roman"/>
        </w:rPr>
        <w:t>egyző</w:t>
      </w: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  <w:u w:val="single"/>
        </w:rPr>
      </w:pP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  <w:u w:val="single"/>
        </w:rPr>
      </w:pPr>
      <w:r w:rsidRPr="009054CA">
        <w:rPr>
          <w:rFonts w:cs="Times New Roman"/>
          <w:u w:val="single"/>
        </w:rPr>
        <w:t>Záradék:</w:t>
      </w:r>
    </w:p>
    <w:p w:rsidR="009054CA" w:rsidRPr="009054CA" w:rsidRDefault="009054CA" w:rsidP="009054CA">
      <w:pPr>
        <w:tabs>
          <w:tab w:val="left" w:pos="993"/>
        </w:tabs>
        <w:ind w:left="567"/>
        <w:rPr>
          <w:rFonts w:cs="Times New Roman"/>
        </w:rPr>
      </w:pPr>
    </w:p>
    <w:p w:rsidR="009054CA" w:rsidRDefault="009054CA" w:rsidP="009054CA">
      <w:pPr>
        <w:tabs>
          <w:tab w:val="left" w:pos="993"/>
        </w:tabs>
        <w:ind w:left="567"/>
        <w:rPr>
          <w:rFonts w:cs="Times New Roman"/>
        </w:rPr>
      </w:pPr>
      <w:r w:rsidRPr="009054CA">
        <w:rPr>
          <w:rFonts w:cs="Times New Roman"/>
        </w:rPr>
        <w:t xml:space="preserve">Egységes szerkezetbe foglalva </w:t>
      </w:r>
      <w:r w:rsidR="00ED0D64">
        <w:rPr>
          <w:rFonts w:cs="Times New Roman"/>
        </w:rPr>
        <w:t>2017. május 17.</w:t>
      </w:r>
    </w:p>
    <w:p w:rsidR="00ED0D64" w:rsidRDefault="00ED0D64" w:rsidP="009054CA">
      <w:pPr>
        <w:tabs>
          <w:tab w:val="left" w:pos="993"/>
        </w:tabs>
        <w:ind w:left="567"/>
        <w:rPr>
          <w:rFonts w:cs="Times New Roman"/>
        </w:rPr>
      </w:pPr>
    </w:p>
    <w:p w:rsidR="00ED0D64" w:rsidRDefault="00ED0D64" w:rsidP="009054CA">
      <w:pPr>
        <w:tabs>
          <w:tab w:val="left" w:pos="993"/>
        </w:tabs>
        <w:ind w:left="567"/>
        <w:rPr>
          <w:rFonts w:cs="Times New Roman"/>
        </w:rPr>
      </w:pPr>
    </w:p>
    <w:p w:rsidR="00ED0D64" w:rsidRPr="009054CA" w:rsidRDefault="00ED0D64" w:rsidP="009054CA">
      <w:pPr>
        <w:tabs>
          <w:tab w:val="left" w:pos="993"/>
        </w:tabs>
        <w:ind w:left="567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Pető Zsolt</w:t>
      </w:r>
    </w:p>
    <w:p w:rsidR="009054CA" w:rsidRPr="009054CA" w:rsidRDefault="009054CA" w:rsidP="00ED0D64">
      <w:pPr>
        <w:tabs>
          <w:tab w:val="left" w:pos="993"/>
        </w:tabs>
        <w:ind w:left="567"/>
        <w:rPr>
          <w:rFonts w:cs="Times New Roman"/>
        </w:rPr>
      </w:pP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Pr="009054CA">
        <w:rPr>
          <w:rFonts w:cs="Times New Roman"/>
        </w:rPr>
        <w:tab/>
      </w:r>
      <w:r w:rsidR="00ED0D64">
        <w:rPr>
          <w:rFonts w:cs="Times New Roman"/>
        </w:rPr>
        <w:t xml:space="preserve">  j</w:t>
      </w:r>
      <w:r w:rsidRPr="009054CA">
        <w:rPr>
          <w:rFonts w:cs="Times New Roman"/>
        </w:rPr>
        <w:t>egyző</w:t>
      </w:r>
    </w:p>
    <w:p w:rsidR="009054CA" w:rsidRPr="009054CA" w:rsidRDefault="009054CA" w:rsidP="009054CA">
      <w:pPr>
        <w:tabs>
          <w:tab w:val="left" w:pos="993"/>
        </w:tabs>
        <w:rPr>
          <w:rFonts w:cs="Times New Roman"/>
        </w:rPr>
      </w:pPr>
      <w:r w:rsidRPr="009054CA">
        <w:rPr>
          <w:rFonts w:cs="Times New Roman"/>
        </w:rPr>
        <w:t xml:space="preserve"> </w:t>
      </w:r>
    </w:p>
    <w:p w:rsidR="001B6DA9" w:rsidRDefault="009054CA" w:rsidP="009054CA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sz w:val="24"/>
          <w:szCs w:val="24"/>
        </w:rPr>
        <w:br w:type="page"/>
      </w:r>
    </w:p>
    <w:p w:rsidR="001B6DA9" w:rsidRDefault="001B6DA9" w:rsidP="009054CA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</w:rPr>
      </w:pPr>
    </w:p>
    <w:p w:rsidR="001B6DA9" w:rsidRDefault="001B6DA9" w:rsidP="009054CA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sz w:val="24"/>
          <w:szCs w:val="24"/>
        </w:rPr>
      </w:pPr>
    </w:p>
    <w:p w:rsidR="009054CA" w:rsidRPr="009054CA" w:rsidRDefault="009054CA" w:rsidP="009054CA">
      <w:pPr>
        <w:pStyle w:val="Rendelet2szintszmnlkl"/>
        <w:numPr>
          <w:ilvl w:val="0"/>
          <w:numId w:val="0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9054CA">
        <w:rPr>
          <w:rFonts w:ascii="Times New Roman" w:hAnsi="Times New Roman"/>
          <w:b/>
          <w:sz w:val="24"/>
          <w:szCs w:val="24"/>
        </w:rPr>
        <w:t xml:space="preserve">A </w:t>
      </w:r>
      <w:r w:rsidR="001B6DA9">
        <w:rPr>
          <w:rFonts w:ascii="Times New Roman" w:hAnsi="Times New Roman"/>
          <w:b/>
          <w:sz w:val="24"/>
          <w:szCs w:val="24"/>
        </w:rPr>
        <w:t>10</w:t>
      </w:r>
      <w:r w:rsidRPr="009054CA">
        <w:rPr>
          <w:rFonts w:ascii="Times New Roman" w:hAnsi="Times New Roman"/>
          <w:b/>
          <w:sz w:val="24"/>
          <w:szCs w:val="24"/>
        </w:rPr>
        <w:t>/2017. (</w:t>
      </w:r>
      <w:r w:rsidR="001B6DA9">
        <w:rPr>
          <w:rFonts w:ascii="Times New Roman" w:hAnsi="Times New Roman"/>
          <w:b/>
          <w:sz w:val="24"/>
          <w:szCs w:val="24"/>
        </w:rPr>
        <w:t>V. 17.</w:t>
      </w:r>
      <w:r w:rsidRPr="009054CA">
        <w:rPr>
          <w:rFonts w:ascii="Times New Roman" w:hAnsi="Times New Roman"/>
          <w:b/>
          <w:sz w:val="24"/>
          <w:szCs w:val="24"/>
        </w:rPr>
        <w:t xml:space="preserve">) </w:t>
      </w:r>
      <w:r w:rsidR="001B6DA9">
        <w:rPr>
          <w:rFonts w:ascii="Times New Roman" w:hAnsi="Times New Roman"/>
          <w:b/>
          <w:sz w:val="24"/>
          <w:szCs w:val="24"/>
        </w:rPr>
        <w:t>önkormányzati</w:t>
      </w:r>
      <w:r w:rsidRPr="009054CA">
        <w:rPr>
          <w:rFonts w:ascii="Times New Roman" w:hAnsi="Times New Roman"/>
          <w:b/>
          <w:sz w:val="24"/>
          <w:szCs w:val="24"/>
        </w:rPr>
        <w:t xml:space="preserve"> rendelet 1. melléklete: SZT-1m</w:t>
      </w:r>
    </w:p>
    <w:p w:rsidR="009054CA" w:rsidRPr="009054CA" w:rsidRDefault="009054CA" w:rsidP="009054CA">
      <w:pPr>
        <w:pStyle w:val="Rendelet2szintszmnlkl"/>
        <w:numPr>
          <w:ilvl w:val="0"/>
          <w:numId w:val="0"/>
        </w:numPr>
        <w:spacing w:after="120"/>
        <w:ind w:left="-284"/>
        <w:rPr>
          <w:rFonts w:ascii="Times New Roman" w:hAnsi="Times New Roman"/>
          <w:sz w:val="24"/>
          <w:szCs w:val="24"/>
        </w:rPr>
      </w:pPr>
      <w:r w:rsidRPr="009054C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4229B652" wp14:editId="55444839">
            <wp:extent cx="5992970" cy="8477152"/>
            <wp:effectExtent l="0" t="0" r="8255" b="635"/>
            <wp:docPr id="5" name="Kép 5" descr="C:\Users\SzaboneZs\AppData\Local\Microsoft\Windows\INetCache\Content.Outlook\AOTPDHZF\Ceglédbercel Szennyvíztiszt SZT 2017.0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zaboneZs\AppData\Local\Microsoft\Windows\INetCache\Content.Outlook\AOTPDHZF\Ceglédbercel Szennyvíztiszt SZT 2017.0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12" cy="84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4CA" w:rsidRPr="009054CA" w:rsidSect="00F85383">
      <w:pgSz w:w="11906" w:h="16838"/>
      <w:pgMar w:top="0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C3" w:rsidRDefault="004A26C3">
      <w:r>
        <w:separator/>
      </w:r>
    </w:p>
  </w:endnote>
  <w:endnote w:type="continuationSeparator" w:id="0">
    <w:p w:rsidR="004A26C3" w:rsidRDefault="004A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C3" w:rsidRDefault="004A26C3">
      <w:r>
        <w:rPr>
          <w:color w:val="000000"/>
        </w:rPr>
        <w:separator/>
      </w:r>
    </w:p>
  </w:footnote>
  <w:footnote w:type="continuationSeparator" w:id="0">
    <w:p w:rsidR="004A26C3" w:rsidRDefault="004A2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80B"/>
    <w:multiLevelType w:val="hybridMultilevel"/>
    <w:tmpl w:val="3D4624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73B98"/>
    <w:multiLevelType w:val="hybridMultilevel"/>
    <w:tmpl w:val="E2E2BDE6"/>
    <w:lvl w:ilvl="0" w:tplc="79EE38D8">
      <w:start w:val="1"/>
      <w:numFmt w:val="decimal"/>
      <w:lvlText w:val="(%1)"/>
      <w:lvlJc w:val="left"/>
      <w:pPr>
        <w:ind w:left="0" w:firstLine="0"/>
      </w:pPr>
      <w:rPr>
        <w:rFonts w:ascii="Arial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3FB9"/>
    <w:multiLevelType w:val="hybridMultilevel"/>
    <w:tmpl w:val="F47A9052"/>
    <w:lvl w:ilvl="0" w:tplc="BF90A094">
      <w:start w:val="2"/>
      <w:numFmt w:val="bullet"/>
      <w:lvlText w:val="*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6ACF"/>
    <w:multiLevelType w:val="multilevel"/>
    <w:tmpl w:val="FFD88918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766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B20F75"/>
    <w:multiLevelType w:val="hybridMultilevel"/>
    <w:tmpl w:val="B686A088"/>
    <w:lvl w:ilvl="0" w:tplc="04EE57E8">
      <w:start w:val="2"/>
      <w:numFmt w:val="decimal"/>
      <w:lvlText w:val="(%1)"/>
      <w:lvlJc w:val="left"/>
      <w:pPr>
        <w:ind w:left="0" w:firstLine="0"/>
      </w:pPr>
      <w:rPr>
        <w:rFonts w:ascii="Bookman Old Style" w:hAnsi="Bookman Old Style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" w15:restartNumberingAfterBreak="0">
    <w:nsid w:val="5D595D71"/>
    <w:multiLevelType w:val="hybridMultilevel"/>
    <w:tmpl w:val="916AF8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D7"/>
    <w:rsid w:val="000030AF"/>
    <w:rsid w:val="00050BB7"/>
    <w:rsid w:val="000810B4"/>
    <w:rsid w:val="000A313B"/>
    <w:rsid w:val="0011361E"/>
    <w:rsid w:val="001171DE"/>
    <w:rsid w:val="00137222"/>
    <w:rsid w:val="00155E19"/>
    <w:rsid w:val="001778F0"/>
    <w:rsid w:val="0018018E"/>
    <w:rsid w:val="00194432"/>
    <w:rsid w:val="001B6DA9"/>
    <w:rsid w:val="001C2EE5"/>
    <w:rsid w:val="001E1D91"/>
    <w:rsid w:val="001F5428"/>
    <w:rsid w:val="0022524B"/>
    <w:rsid w:val="002D6400"/>
    <w:rsid w:val="002D6972"/>
    <w:rsid w:val="002E50FE"/>
    <w:rsid w:val="00344850"/>
    <w:rsid w:val="00352CA4"/>
    <w:rsid w:val="003B4DB7"/>
    <w:rsid w:val="003F3207"/>
    <w:rsid w:val="0048134A"/>
    <w:rsid w:val="004A09F4"/>
    <w:rsid w:val="004A26C3"/>
    <w:rsid w:val="005001AD"/>
    <w:rsid w:val="00532543"/>
    <w:rsid w:val="00593633"/>
    <w:rsid w:val="005F619D"/>
    <w:rsid w:val="00627A1C"/>
    <w:rsid w:val="00677A55"/>
    <w:rsid w:val="006E5960"/>
    <w:rsid w:val="006F164F"/>
    <w:rsid w:val="00723330"/>
    <w:rsid w:val="0073574F"/>
    <w:rsid w:val="00740B87"/>
    <w:rsid w:val="007C0511"/>
    <w:rsid w:val="007D4732"/>
    <w:rsid w:val="008D3498"/>
    <w:rsid w:val="009054CA"/>
    <w:rsid w:val="00906A27"/>
    <w:rsid w:val="00922367"/>
    <w:rsid w:val="00982DD7"/>
    <w:rsid w:val="00996CDC"/>
    <w:rsid w:val="009F63F9"/>
    <w:rsid w:val="00A26810"/>
    <w:rsid w:val="00A754FC"/>
    <w:rsid w:val="00A77E62"/>
    <w:rsid w:val="00BB0060"/>
    <w:rsid w:val="00BC76CE"/>
    <w:rsid w:val="00BF2F0E"/>
    <w:rsid w:val="00C52343"/>
    <w:rsid w:val="00C94FAB"/>
    <w:rsid w:val="00D94DA8"/>
    <w:rsid w:val="00E519A0"/>
    <w:rsid w:val="00ED0D64"/>
    <w:rsid w:val="00EF0AA2"/>
    <w:rsid w:val="00F45735"/>
    <w:rsid w:val="00F85383"/>
    <w:rsid w:val="00FC2F41"/>
    <w:rsid w:val="00F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F8E4F-EA6A-453A-A042-1E26D787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link w:val="lfejChar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Standard"/>
    <w:link w:val="Listaszerbekezds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E62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E62"/>
    <w:rPr>
      <w:rFonts w:ascii="Segoe UI" w:hAnsi="Segoe UI"/>
      <w:sz w:val="18"/>
      <w:szCs w:val="16"/>
    </w:rPr>
  </w:style>
  <w:style w:type="character" w:customStyle="1" w:styleId="lfejChar">
    <w:name w:val="Élőfej Char"/>
    <w:basedOn w:val="Bekezdsalapbettpusa"/>
    <w:link w:val="lfej"/>
    <w:rsid w:val="001171DE"/>
  </w:style>
  <w:style w:type="paragraph" w:styleId="Cm">
    <w:name w:val="Title"/>
    <w:basedOn w:val="Norml"/>
    <w:link w:val="CmChar"/>
    <w:qFormat/>
    <w:rsid w:val="009054C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lang w:eastAsia="hu-HU" w:bidi="ar-SA"/>
    </w:rPr>
  </w:style>
  <w:style w:type="character" w:customStyle="1" w:styleId="CmChar">
    <w:name w:val="Cím Char"/>
    <w:basedOn w:val="Bekezdsalapbettpusa"/>
    <w:link w:val="Cm"/>
    <w:rsid w:val="009054CA"/>
    <w:rPr>
      <w:rFonts w:eastAsia="Times New Roman" w:cs="Times New Roman"/>
      <w:b/>
      <w:kern w:val="0"/>
      <w:lang w:eastAsia="hu-HU" w:bidi="ar-SA"/>
    </w:rPr>
  </w:style>
  <w:style w:type="character" w:customStyle="1" w:styleId="ListaszerbekezdsChar">
    <w:name w:val="Listaszerű bekezdés Char"/>
    <w:link w:val="Listaszerbekezds"/>
    <w:uiPriority w:val="34"/>
    <w:rsid w:val="009054CA"/>
    <w:rPr>
      <w:rFonts w:ascii="Calibri" w:eastAsia="Calibri" w:hAnsi="Calibri" w:cs="Calibri"/>
      <w:sz w:val="22"/>
      <w:szCs w:val="22"/>
    </w:rPr>
  </w:style>
  <w:style w:type="paragraph" w:customStyle="1" w:styleId="Rendelet1szint">
    <w:name w:val="Rendelet 1 szint"/>
    <w:basedOn w:val="Listaszerbekezds"/>
    <w:link w:val="Rendelet1szintChar"/>
    <w:qFormat/>
    <w:rsid w:val="009054CA"/>
    <w:pPr>
      <w:widowControl/>
      <w:numPr>
        <w:numId w:val="2"/>
      </w:numPr>
      <w:suppressAutoHyphens w:val="0"/>
      <w:autoSpaceDN/>
      <w:spacing w:before="240" w:after="120"/>
      <w:contextualSpacing/>
      <w:jc w:val="center"/>
      <w:textAlignment w:val="auto"/>
    </w:pPr>
    <w:rPr>
      <w:rFonts w:cs="Times New Roman"/>
      <w:b/>
      <w:kern w:val="0"/>
      <w:sz w:val="18"/>
      <w:szCs w:val="18"/>
      <w:lang w:val="x-none" w:eastAsia="en-US" w:bidi="ar-SA"/>
    </w:rPr>
  </w:style>
  <w:style w:type="paragraph" w:customStyle="1" w:styleId="Rendelet2szint">
    <w:name w:val="Rendelet 2 szint"/>
    <w:basedOn w:val="Norml"/>
    <w:next w:val="Norml"/>
    <w:rsid w:val="009054CA"/>
    <w:pPr>
      <w:widowControl/>
      <w:numPr>
        <w:ilvl w:val="1"/>
        <w:numId w:val="2"/>
      </w:numPr>
      <w:suppressAutoHyphens w:val="0"/>
      <w:autoSpaceDN/>
      <w:spacing w:before="240"/>
      <w:jc w:val="both"/>
      <w:textAlignment w:val="auto"/>
    </w:pPr>
    <w:rPr>
      <w:rFonts w:ascii="Calibri" w:eastAsia="Calibri" w:hAnsi="Calibri" w:cs="Times New Roman"/>
      <w:kern w:val="0"/>
      <w:sz w:val="18"/>
      <w:szCs w:val="18"/>
      <w:lang w:eastAsia="en-US" w:bidi="ar-SA"/>
    </w:rPr>
  </w:style>
  <w:style w:type="character" w:customStyle="1" w:styleId="Rendelet1szintChar">
    <w:name w:val="Rendelet 1 szint Char"/>
    <w:link w:val="Rendelet1szint"/>
    <w:rsid w:val="009054CA"/>
    <w:rPr>
      <w:rFonts w:ascii="Calibri" w:eastAsia="Calibri" w:hAnsi="Calibri" w:cs="Times New Roman"/>
      <w:b/>
      <w:kern w:val="0"/>
      <w:sz w:val="18"/>
      <w:szCs w:val="18"/>
      <w:lang w:val="x-none" w:eastAsia="en-US" w:bidi="ar-SA"/>
    </w:rPr>
  </w:style>
  <w:style w:type="paragraph" w:customStyle="1" w:styleId="Rendelet3szint">
    <w:name w:val="Rendelet 3. szint"/>
    <w:basedOn w:val="Rendelet2szint"/>
    <w:qFormat/>
    <w:rsid w:val="009054CA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9054CA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9054CA"/>
    <w:pPr>
      <w:ind w:left="567"/>
    </w:pPr>
  </w:style>
  <w:style w:type="character" w:customStyle="1" w:styleId="StlussbekAutomatikusChar">
    <w:name w:val="Stílus sbek + Automatikus Char"/>
    <w:rsid w:val="009054CA"/>
    <w:rPr>
      <w:color w:val="000000"/>
      <w:lang w:val="hu-HU" w:eastAsia="hu-HU" w:bidi="ar-SA"/>
    </w:rPr>
  </w:style>
  <w:style w:type="paragraph" w:styleId="Felsorols">
    <w:name w:val="List Bullet"/>
    <w:basedOn w:val="Norml"/>
    <w:unhideWhenUsed/>
    <w:rsid w:val="009054CA"/>
    <w:pPr>
      <w:widowControl/>
      <w:numPr>
        <w:numId w:val="4"/>
      </w:numPr>
      <w:suppressAutoHyphens w:val="0"/>
      <w:autoSpaceDN/>
      <w:spacing w:before="200"/>
      <w:jc w:val="center"/>
      <w:textAlignment w:val="auto"/>
    </w:pPr>
    <w:rPr>
      <w:rFonts w:eastAsia="Times New Roman" w:cs="Times New Roman"/>
      <w:b/>
      <w:kern w:val="0"/>
      <w:lang w:eastAsia="hu-HU" w:bidi="ar-SA"/>
    </w:rPr>
  </w:style>
  <w:style w:type="paragraph" w:styleId="Felsorols2">
    <w:name w:val="List Bullet 2"/>
    <w:basedOn w:val="Norml"/>
    <w:semiHidden/>
    <w:unhideWhenUsed/>
    <w:rsid w:val="009054CA"/>
    <w:pPr>
      <w:widowControl/>
      <w:numPr>
        <w:ilvl w:val="1"/>
        <w:numId w:val="4"/>
      </w:numPr>
      <w:suppressAutoHyphens w:val="0"/>
      <w:autoSpaceDN/>
      <w:spacing w:before="120"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Felsorols3">
    <w:name w:val="List Bullet 3"/>
    <w:basedOn w:val="Norml"/>
    <w:semiHidden/>
    <w:unhideWhenUsed/>
    <w:rsid w:val="009054CA"/>
    <w:pPr>
      <w:widowControl/>
      <w:numPr>
        <w:ilvl w:val="2"/>
        <w:numId w:val="4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Felsorols4">
    <w:name w:val="List Bullet 4"/>
    <w:basedOn w:val="Norml"/>
    <w:semiHidden/>
    <w:unhideWhenUsed/>
    <w:rsid w:val="009054CA"/>
    <w:pPr>
      <w:widowControl/>
      <w:numPr>
        <w:ilvl w:val="3"/>
        <w:numId w:val="4"/>
      </w:numPr>
      <w:suppressAutoHyphens w:val="0"/>
      <w:autoSpaceDN/>
      <w:jc w:val="both"/>
      <w:textAlignment w:val="auto"/>
    </w:pPr>
    <w:rPr>
      <w:rFonts w:eastAsia="Times New Roman" w:cs="Times New Roman"/>
      <w:kern w:val="0"/>
      <w:lang w:eastAsia="hu-HU" w:bidi="ar-SA"/>
    </w:rPr>
  </w:style>
  <w:style w:type="paragraph" w:styleId="Nincstrkz">
    <w:name w:val="No Spacing"/>
    <w:qFormat/>
    <w:rsid w:val="009054CA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BF43-A538-4CCB-BF7C-AC88DE15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573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Károlyné</dc:creator>
  <cp:lastModifiedBy>User</cp:lastModifiedBy>
  <cp:revision>10</cp:revision>
  <cp:lastPrinted>2017-05-17T11:02:00Z</cp:lastPrinted>
  <dcterms:created xsi:type="dcterms:W3CDTF">2017-05-16T12:00:00Z</dcterms:created>
  <dcterms:modified xsi:type="dcterms:W3CDTF">2017-05-31T12:09:00Z</dcterms:modified>
</cp:coreProperties>
</file>